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60"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الجمهورية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اللبنانية</w:t>
      </w:r>
    </w:p>
    <w:p w:rsidR="00000000" w:rsidDel="00000000" w:rsidP="00000000" w:rsidRDefault="00000000" w:rsidRPr="00000000" w14:paraId="00000002">
      <w:pPr>
        <w:bidi w:val="1"/>
        <w:spacing w:after="160" w:line="256.7994545454545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1"/>
        </w:rPr>
        <w:t xml:space="preserve">وزارة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الزراعة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60" w:line="256.7994545454545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نموذج</w:t>
      </w:r>
    </w:p>
    <w:p w:rsidR="00000000" w:rsidDel="00000000" w:rsidP="00000000" w:rsidRDefault="00000000" w:rsidRPr="00000000" w14:paraId="00000004">
      <w:pPr>
        <w:bidi w:val="1"/>
        <w:spacing w:after="160" w:line="256.7994545454545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مقترحات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حول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مشروع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قانون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تنظيم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تجارة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البذور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والش</w:t>
      </w:r>
      <w:r w:rsidDel="00000000" w:rsidR="00000000" w:rsidRPr="00000000">
        <w:rPr>
          <w:b w:val="1"/>
          <w:bCs w:val="1"/>
          <w:u w:val="single"/>
          <w:rtl w:val="1"/>
        </w:rPr>
        <w:t xml:space="preserve">ّ</w:t>
      </w:r>
      <w:r w:rsidDel="00000000" w:rsidR="00000000" w:rsidRPr="00000000">
        <w:rPr>
          <w:b w:val="1"/>
          <w:bCs w:val="1"/>
          <w:u w:val="single"/>
          <w:rtl w:val="1"/>
        </w:rPr>
        <w:t xml:space="preserve">تول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ومواد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الإكثار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في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لبنان</w:t>
      </w:r>
    </w:p>
    <w:p w:rsidR="00000000" w:rsidDel="00000000" w:rsidP="00000000" w:rsidRDefault="00000000" w:rsidRPr="00000000" w14:paraId="00000005">
      <w:pPr>
        <w:bidi w:val="1"/>
        <w:spacing w:after="160"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الجهة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المتقدمة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بالمقترحات</w:t>
      </w:r>
      <w:r w:rsidDel="00000000" w:rsidR="00000000" w:rsidRPr="00000000">
        <w:rPr>
          <w:b w:val="1"/>
          <w:bCs w:val="1"/>
          <w:rtl w:val="1"/>
        </w:rPr>
        <w:t xml:space="preserve">:   </w:t>
      </w:r>
      <w:r w:rsidDel="00000000" w:rsidR="00000000" w:rsidRPr="00000000">
        <w:rPr>
          <w:b w:val="1"/>
          <w:bCs w:val="1"/>
          <w:rtl w:val="1"/>
        </w:rPr>
        <w:t xml:space="preserve">الهيئة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لحقوق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الإنسان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المتضمنة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لجنة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الوقاية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التعذيب</w:t>
      </w:r>
      <w:r w:rsidDel="00000000" w:rsidR="00000000" w:rsidRPr="00000000">
        <w:rPr>
          <w:b w:val="1"/>
          <w:bCs w:val="1"/>
          <w:rtl w:val="1"/>
        </w:rPr>
        <w:t xml:space="preserve">  (</w:t>
      </w:r>
      <w:r w:rsidDel="00000000" w:rsidR="00000000" w:rsidRPr="00000000">
        <w:rPr>
          <w:b w:val="1"/>
          <w:bCs w:val="1"/>
          <w:rtl w:val="1"/>
        </w:rPr>
        <w:t xml:space="preserve">هيئة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وطنية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مستقلة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منشاة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بموجب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القانون</w:t>
      </w:r>
      <w:r w:rsidDel="00000000" w:rsidR="00000000" w:rsidRPr="00000000">
        <w:rPr>
          <w:b w:val="1"/>
          <w:bCs w:val="1"/>
          <w:rtl w:val="1"/>
        </w:rPr>
        <w:t xml:space="preserve"> 62 /2016) </w:t>
      </w:r>
    </w:p>
    <w:p w:rsidR="00000000" w:rsidDel="00000000" w:rsidP="00000000" w:rsidRDefault="00000000" w:rsidRPr="00000000" w14:paraId="00000006">
      <w:pPr>
        <w:bidi w:val="1"/>
        <w:spacing w:after="160"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الشخص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والصفة</w:t>
      </w:r>
      <w:r w:rsidDel="00000000" w:rsidR="00000000" w:rsidRPr="00000000">
        <w:rPr>
          <w:b w:val="1"/>
          <w:bCs w:val="1"/>
          <w:rtl w:val="1"/>
        </w:rPr>
        <w:t xml:space="preserve">:    </w:t>
        <w:tab/>
      </w:r>
      <w:r w:rsidDel="00000000" w:rsidR="00000000" w:rsidRPr="00000000">
        <w:rPr>
          <w:b w:val="1"/>
          <w:bCs w:val="1"/>
          <w:rtl w:val="1"/>
        </w:rPr>
        <w:t xml:space="preserve">بسام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القنطار</w:t>
      </w:r>
      <w:r w:rsidDel="00000000" w:rsidR="00000000" w:rsidRPr="00000000">
        <w:rPr>
          <w:b w:val="1"/>
          <w:bCs w:val="1"/>
          <w:rtl w:val="1"/>
        </w:rPr>
        <w:t xml:space="preserve"> – </w:t>
      </w:r>
      <w:r w:rsidDel="00000000" w:rsidR="00000000" w:rsidRPr="00000000">
        <w:rPr>
          <w:b w:val="1"/>
          <w:bCs w:val="1"/>
          <w:rtl w:val="1"/>
        </w:rPr>
        <w:t xml:space="preserve">مفوض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العلاقات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الدولية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والاعلام</w:t>
      </w:r>
      <w:r w:rsidDel="00000000" w:rsidR="00000000" w:rsidRPr="00000000">
        <w:rPr>
          <w:b w:val="1"/>
          <w:bCs w:val="1"/>
          <w:rtl w:val="1"/>
        </w:rPr>
        <w:t xml:space="preserve">                                   </w:t>
      </w:r>
    </w:p>
    <w:p w:rsidR="00000000" w:rsidDel="00000000" w:rsidP="00000000" w:rsidRDefault="00000000" w:rsidRPr="00000000" w14:paraId="00000007">
      <w:pPr>
        <w:bidi w:val="1"/>
        <w:spacing w:after="160"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الخليوي</w:t>
      </w:r>
      <w:r w:rsidDel="00000000" w:rsidR="00000000" w:rsidRPr="00000000">
        <w:rPr>
          <w:b w:val="1"/>
          <w:bCs w:val="1"/>
          <w:rtl w:val="1"/>
        </w:rPr>
        <w:t xml:space="preserve">: </w:t>
        <w:tab/>
        <w:t xml:space="preserve">03350956</w:t>
      </w:r>
    </w:p>
    <w:p w:rsidR="00000000" w:rsidDel="00000000" w:rsidP="00000000" w:rsidRDefault="00000000" w:rsidRPr="00000000" w14:paraId="00000008">
      <w:pPr>
        <w:bidi w:val="1"/>
        <w:spacing w:after="160" w:line="256.7994545454545" w:lineRule="auto"/>
        <w:rPr>
          <w:b w:val="1"/>
          <w:bCs w:val="1"/>
          <w:color w:val="0563c1"/>
        </w:rPr>
      </w:pPr>
      <w:r w:rsidDel="00000000" w:rsidR="00000000" w:rsidRPr="00000000">
        <w:rPr>
          <w:b w:val="1"/>
          <w:bCs w:val="1"/>
          <w:rtl w:val="1"/>
        </w:rPr>
        <w:t xml:space="preserve">البريد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الالكتروني</w:t>
      </w:r>
      <w:r w:rsidDel="00000000" w:rsidR="00000000" w:rsidRPr="00000000">
        <w:rPr>
          <w:b w:val="1"/>
          <w:bCs w:val="1"/>
          <w:rtl w:val="1"/>
        </w:rPr>
        <w:t xml:space="preserve">: 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bassam.alkantar@nhrclb.org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60" w:line="256.7994545454545" w:lineRule="auto"/>
        <w:rPr>
          <w:b w:val="1"/>
          <w:bCs w:val="1"/>
          <w:color w:val="0563c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1185"/>
        <w:gridCol w:w="1155"/>
        <w:gridCol w:w="3255"/>
        <w:gridCol w:w="3270"/>
        <w:gridCol w:w="3000"/>
        <w:tblGridChange w:id="0">
          <w:tblGrid>
            <w:gridCol w:w="1095"/>
            <w:gridCol w:w="1185"/>
            <w:gridCol w:w="1155"/>
            <w:gridCol w:w="3255"/>
            <w:gridCol w:w="327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الفصل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المادة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الفقرة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ينطبق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النص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الاساسي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التعديل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المقترح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rPr>
                <w:b w:val="1"/>
                <w:bCs w:val="1"/>
                <w:color w:val="0563c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الموجبة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للتعديل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تمهيدية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color w:val="0563c1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color w:val="0563c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اختلاف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انواعها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انتاجها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اختلاف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أنواعها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إطار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مؤسسي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التوازن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والمعرفة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أخرى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شفافة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وعادلة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المساس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إخضاعها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الملكية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الفكرية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الاتفاقية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الجديدة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والثبات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والتجانس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يكفل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استدامة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النظم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وسيادتها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وتخزين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وصون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الحيوي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وتعزيز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نظرا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التآكل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الناتج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دخول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وللوقاية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الاحتكار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تفرضه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الكبرى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تعطي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يرت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تبرز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وتخزين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باعتبارها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أصيلة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ومتسقة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تغييب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فجوة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تسمح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بتوسع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الهيمنة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وتأتي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أيضا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تجن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صارمة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اتفاقيات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خصوصيات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رأسها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اتفاقية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UPOV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وهي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International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Union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Protection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New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Varieties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Plants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مستنبطي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احتكارية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واسعة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تعتمد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والتجانس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وهي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تتلاءم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المتنوعة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جينيا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استمرارها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وانتشارها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ويؤثر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سلبا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وبناء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عليه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لتكريس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وشفاف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اللبنانية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وسيادتها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تمهيدية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التعريفات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>
                <w:color w:val="0563c1"/>
              </w:rPr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جزء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يستخدم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سواء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الخضري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سبيل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الحصر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الموثقة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الموثقة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المعالجة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المعالجة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بالمبيدات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الفطرية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الحشرية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المعالجة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المغلفة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الخضرية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الساق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الجذر</w:t>
            </w:r>
            <w:r w:rsidDel="00000000" w:rsidR="00000000" w:rsidRPr="00000000">
              <w:rPr>
                <w:rtl w:val="1"/>
              </w:rPr>
              <w:t xml:space="preserve">) ، </w:t>
            </w:r>
            <w:r w:rsidDel="00000000" w:rsidR="00000000" w:rsidRPr="00000000">
              <w:rPr>
                <w:rtl w:val="1"/>
              </w:rPr>
              <w:t xml:space="preserve">الأبصال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والدرنات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والريزومات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والطعوم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الأنسجة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جزء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يستخدم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سواء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الخضري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ويشمل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سبيل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المثال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الحصر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•</w:t>
              <w:tab/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الموثقة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الموثقة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المعالجة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المعالجة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بالمبيدات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الفطرية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الحشرية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المعالجة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المغلفة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المطلية</w:t>
            </w:r>
          </w:p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•</w:t>
              <w:tab/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الخضرية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الجذر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الأبصال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والدرنات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والريزومات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والطعوم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والأصول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الأنسجة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•</w:t>
              <w:tab/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تقنيات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الهندسة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تستخدم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الحمض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النووي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المؤتلف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الاندماج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الخلوي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أخرى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شأنها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تعديل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التركيب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للبذرة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بطريقة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تحدث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التهجين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التلقيح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•</w:t>
              <w:tab/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المتوارثة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المجتمعات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لأعرافهم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وممارساتهم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وتشمل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وتبقى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نطاق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الإلزامي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b w:val="1"/>
                <w:bCs w:val="1"/>
                <w:color w:val="0563c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rPr>
                <w:b w:val="1"/>
                <w:bCs w:val="1"/>
                <w:color w:val="0563c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تعريف</w:t>
            </w:r>
            <w:r w:rsidDel="00000000" w:rsidR="00000000" w:rsidRPr="00000000">
              <w:rPr>
                <w:rtl w:val="1"/>
              </w:rPr>
              <w:t xml:space="preserve">َ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ً"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المتوارثة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تشريعية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ملح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وصون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التآكل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المفاهيم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المعتمدة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تتلاءم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عليه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اقتضى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بالتعاريف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تمهيدية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التعريفات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تقييمات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جرى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دفعات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معتمدة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وتشمل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والنقاوة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الفيزيائية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الفحوصات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المخبرية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المحصول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التقييمات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المخبرية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والحقلية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للتحقق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دفعات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مطابقتها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حيث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والنقاوة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الفيزيائية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والقدرة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فحوصات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تحليلية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ورقابية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ويقتصر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إلزامي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منتجي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الكبرى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يشمل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منتجي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تعريف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الوارد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يقتصر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المخبرية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والحقلية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نطاق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تفسير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موس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ويخلط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المخبرية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والحقلية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المتقدمة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للهوية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والنقاوة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الفيزيائية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والإنبات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ضرورية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</w:t>
            </w:r>
            <w:r w:rsidDel="00000000" w:rsidR="00000000" w:rsidRPr="00000000">
              <w:rPr>
                <w:rtl w:val="1"/>
              </w:rPr>
              <w:t xml:space="preserve">َ</w:t>
            </w:r>
            <w:r w:rsidDel="00000000" w:rsidR="00000000" w:rsidRPr="00000000">
              <w:rPr>
                <w:rtl w:val="1"/>
              </w:rPr>
              <w:t xml:space="preserve">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الكبرى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تتعامل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سلاسل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معقدة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وتتطلب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دقيقا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مطابقة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للمواصفات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35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ومعيارية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متناسبة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عملهم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الصغيرة</w:t>
            </w:r>
            <w:r w:rsidDel="00000000" w:rsidR="00000000" w:rsidRPr="00000000">
              <w:rPr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36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توضيح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نطاق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دقيقة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تفسير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يفضي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مكلفة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3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اقتضى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xv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لتبيان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ّ "</w:t>
            </w:r>
            <w:r w:rsidDel="00000000" w:rsidR="00000000" w:rsidRPr="00000000">
              <w:rPr>
                <w:rtl w:val="1"/>
              </w:rPr>
              <w:t xml:space="preserve">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الكبرى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فقط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طب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وجاءت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ظهر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بوضوح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تقنيا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وقانونيا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سليما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تمهيدية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التعريفات</w:t>
            </w:r>
          </w:p>
          <w:p w:rsidR="00000000" w:rsidDel="00000000" w:rsidP="00000000" w:rsidRDefault="00000000" w:rsidRPr="00000000" w14:paraId="0000003B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فقرة</w:t>
            </w:r>
          </w:p>
          <w:p w:rsidR="00000000" w:rsidDel="00000000" w:rsidP="00000000" w:rsidRDefault="00000000" w:rsidRPr="00000000" w14:paraId="0000003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xviii</w:t>
            </w:r>
          </w:p>
          <w:p w:rsidR="00000000" w:rsidDel="00000000" w:rsidP="00000000" w:rsidRDefault="00000000" w:rsidRPr="00000000" w14:paraId="0000003F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جديدة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مقترحة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المكفول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دستوريا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ودوليا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الحصول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غذاء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وآمن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ومغذ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ومستدام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ناتج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نظم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سليمة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ودقيق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تشريعية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نظرا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المكفولة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انضم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ولارتباطه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الإنسانية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تباين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تفسير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وتطبيقه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تكفل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غذاء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كاف</w:t>
            </w:r>
            <w:r w:rsidDel="00000000" w:rsidR="00000000" w:rsidRPr="00000000">
              <w:rPr>
                <w:rtl w:val="1"/>
              </w:rPr>
              <w:t xml:space="preserve">ٍ </w:t>
            </w:r>
            <w:r w:rsidDel="00000000" w:rsidR="00000000" w:rsidRPr="00000000">
              <w:rPr>
                <w:rtl w:val="1"/>
              </w:rPr>
              <w:t xml:space="preserve">وآمن</w:t>
            </w:r>
            <w:r w:rsidDel="00000000" w:rsidR="00000000" w:rsidRPr="00000000">
              <w:rPr>
                <w:rtl w:val="1"/>
              </w:rPr>
              <w:t xml:space="preserve">ٍ </w:t>
            </w:r>
            <w:r w:rsidDel="00000000" w:rsidR="00000000" w:rsidRPr="00000000">
              <w:rPr>
                <w:rtl w:val="1"/>
              </w:rPr>
              <w:t xml:space="preserve">ومغذ</w:t>
            </w:r>
            <w:r w:rsidDel="00000000" w:rsidR="00000000" w:rsidRPr="00000000">
              <w:rPr>
                <w:rtl w:val="1"/>
              </w:rPr>
              <w:t xml:space="preserve">ٍّ </w:t>
            </w:r>
            <w:r w:rsidDel="00000000" w:rsidR="00000000" w:rsidRPr="00000000">
              <w:rPr>
                <w:rtl w:val="1"/>
              </w:rPr>
              <w:t xml:space="preserve">ومستدام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الانسجام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ويوف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مرجعا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قانونيا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تستند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والمؤسسات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بتأمين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عليه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اقتضى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وشامل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بالتعاريف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  <w:p w:rsidR="00000000" w:rsidDel="00000000" w:rsidP="00000000" w:rsidRDefault="00000000" w:rsidRPr="00000000" w14:paraId="00000047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تنشأ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متخصصة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تدعى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ترتبط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يرأسها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حكما</w:t>
            </w:r>
            <w:r w:rsidDel="00000000" w:rsidR="00000000" w:rsidRPr="00000000">
              <w:rPr>
                <w:rtl w:val="1"/>
              </w:rPr>
              <w:t xml:space="preserve">ً. </w:t>
            </w: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متخصصة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دعى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وتتألف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(15)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عضوا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برئاسة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وتضم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عضويتها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وجوبا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أربعة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(14)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عضوا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مرشحين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تقترحها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الهيئات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bidi w:val="1"/>
              <w:spacing w:after="16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مصلحة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الأبحاث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أمانة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المصلحة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1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الجامعة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اللبنانية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الجامعة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أمانة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مختلف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فروعها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8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الجامعات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والمعاهد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6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النقابات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0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الحكومية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اللبنانية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القطاعات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9"/>
              </w:numPr>
              <w:bidi w:val="1"/>
              <w:spacing w:after="16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الحكومية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الترشيحات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شترط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المرشحين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لعضوية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استيفاء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لديهم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7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مثبته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لاختبار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ISTA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بفحوص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جودة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ونقاوتها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وصحتها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ونظام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التابع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الاقتصادية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OECD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Schemes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النقاء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وتتبع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وتوحيد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الاعتماد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الاتحاد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UPOV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المرتكزة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مبادئ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والثبات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والتجانس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استنباط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وبالإرشادات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والمبادئ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الصادرة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الأغذية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للأمم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FAO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السليمة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7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الأخيرة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7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المؤسسات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7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بمدو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سلوك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لدرء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7"/>
              </w:numPr>
              <w:bidi w:val="1"/>
              <w:spacing w:after="16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الإلتزام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بتقديم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التصريح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والدوري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الذمة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ومعاقبة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الاثراء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لمكافحة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الفساد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تكن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الاساسية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للمرشح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تلزمه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التصريح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القوانين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شترط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المرشحين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لعضوية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استيفاء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الفئات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المحددة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أدناه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ترشيح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بسيرة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مفصلة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ومستندات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ثبوتية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تؤكد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استيفاء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أولا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</w:p>
          <w:p w:rsidR="00000000" w:rsidDel="00000000" w:rsidP="00000000" w:rsidRDefault="00000000" w:rsidRPr="00000000" w14:paraId="0000005E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(10)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الإداري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اختصاص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جامعي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الهندسة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بالأطر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والتنظيمية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المرتبطة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ثانيا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مصلحة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الأبحاث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LARI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حيازة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دكتوراه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التربية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أمراض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يعادلها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مؤسسة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معترف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يتضم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أبحاثا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منشورات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مجالات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إلمام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بالتقنيات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المخبرية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الحديثة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وباختبارات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7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ثالثا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والتجارة</w:t>
            </w:r>
          </w:p>
          <w:p w:rsidR="00000000" w:rsidDel="00000000" w:rsidP="00000000" w:rsidRDefault="00000000" w:rsidRPr="00000000" w14:paraId="0000006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جامعية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سلاسل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الأسواق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المستهلك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B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الخارجية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السلع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رابعا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البيئة</w:t>
            </w:r>
          </w:p>
          <w:p w:rsidR="00000000" w:rsidDel="00000000" w:rsidP="00000000" w:rsidRDefault="00000000" w:rsidRPr="00000000" w14:paraId="0000006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جامعية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E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الأثر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والنظم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خامسا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الجامعة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اللبنانية</w:t>
            </w:r>
          </w:p>
          <w:p w:rsidR="00000000" w:rsidDel="00000000" w:rsidP="00000000" w:rsidRDefault="00000000" w:rsidRPr="00000000" w14:paraId="0000007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برتبة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أستاذ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أستاذ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مساعد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أكاديمية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سبع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(7)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اختصاص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وقاية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التكنولوجيا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أبحاث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سادسا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الجامعات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والمعاهد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077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حيازة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دكتوراه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الاختصاصات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تدريسية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مختبرات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التربية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المشاتل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سابعا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</w:p>
          <w:p w:rsidR="00000000" w:rsidDel="00000000" w:rsidP="00000000" w:rsidRDefault="00000000" w:rsidRPr="00000000" w14:paraId="0000007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سبع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(7)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استيراد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إثبات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تمثيل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تفويض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رسمي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مخالفات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نظيمية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المرشح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والجمعية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نزاعات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قضائية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تتعلق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بالغش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انتهاك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احتكارية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تلاعب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بالأسعار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بالتركيبات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F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ثامنا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النقابات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والزراعية</w:t>
            </w:r>
          </w:p>
          <w:p w:rsidR="00000000" w:rsidDel="00000000" w:rsidP="00000000" w:rsidRDefault="00000000" w:rsidRPr="00000000" w14:paraId="00000080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ميدانية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(10)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2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بالتحديات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المرتبطة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اتحادات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مبادرات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قدرة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تمثيل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ومصالحهم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بفعالية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تاسعا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الحكومية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والبيئية</w:t>
            </w:r>
          </w:p>
          <w:p w:rsidR="00000000" w:rsidDel="00000000" w:rsidP="00000000" w:rsidRDefault="00000000" w:rsidRPr="00000000" w14:paraId="0000008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مشاريع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المستدامة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7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مشاريع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موثقة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دعم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سلاسل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خلو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محتمل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شركات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المجتمعي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عاشرا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ً: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التراثية</w:t>
            </w:r>
          </w:p>
          <w:p w:rsidR="00000000" w:rsidDel="00000000" w:rsidP="00000000" w:rsidRDefault="00000000" w:rsidRPr="00000000" w14:paraId="0000008B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(5)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بنوك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مبادرات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مجتمعية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للحفاظ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منشورات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أدلة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تدريبية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E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الارتباط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ميداني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ملح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حديث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وفع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باعتباره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الركيزة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1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نص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متخصصة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طيفا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واسعا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والمهنية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والمؤسسات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والجامعات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والنقابات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الحكومية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اتخاذ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متوازنة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وموضوعية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3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الأهلية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ومرجعية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الترشيح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بحيث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ومباشر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بدلا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تركها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حرصا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استقلال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وحيادها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واستقرار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تشكيلها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عضويتها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استحقاق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قائم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الكفاءة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التعيينات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5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تثبيت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مبدأ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السلطات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اختيار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قابلة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الاجتهاد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الظروف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تغي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نص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المرشحين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المعتمدة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ISTA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  <w:t xml:space="preserve">OECD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  <w:t xml:space="preserve">UPOV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والإرشادات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الفاو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FAO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الانخراط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المنظومة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لمراقبة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النقاوة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إدخال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مطابقة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أفضل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9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أيضا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اشتراط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خلو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المرشحين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وغياب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مصالح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بالتصاريح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لمكافحة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الفساد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الإثراء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ويؤم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B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حرص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مفصلة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ومهنية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التمثيل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الميدانية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مشاتل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اتحادات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كفاءة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D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الاستقلالية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مؤسسيا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متكاملا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قادرا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استدامته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والارتقاء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ab/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تضم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وعلميين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والجامعات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وممثلين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نباتات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وأخصائيين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وممثلين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يراعى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الاختصاصات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والصلاحيات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المنوطة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مراعاة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واستقلاليتهم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التعيين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آلية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وتعويض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أعضائها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للاجتماعات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بمرسوم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أشهر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نفاذ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للتوسع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عضوية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وللتدرج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منهجي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يلتزم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يطلعون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مهامهم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يلتزم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بالحفاظ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إطار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مهامهم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باستثناء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إتاحتها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سيما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الوصول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الكشف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بحسن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تتعلق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بوقائع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فساد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مخالفات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قانونية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خرق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للسرية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كاشفي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الفساد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حفاظ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والمساءلة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المواطنين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باللجان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والمؤسسات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لواجب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الملقى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عاتق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الحساسة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الطابع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كشفها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الإضرار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الأطراف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E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المقابل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منسجم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28/2017، </w:t>
            </w:r>
            <w:r w:rsidDel="00000000" w:rsidR="00000000" w:rsidRPr="00000000">
              <w:rPr>
                <w:rtl w:val="1"/>
              </w:rPr>
              <w:t xml:space="preserve">الهادف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مبدأ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وإتاحة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يمس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خصوصية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الأفراد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النزاهة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وعي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كاشفي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الفساد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83/2018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الموظف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الإبلاغ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جرائم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الفساد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للكاشفين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بحسن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0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لذلك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درجت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مقتضيات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والإبلاغ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الفساد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يعكس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اللبناني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نحو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نزاهة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وفاعلية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وانسجام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لمكافحة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الفساد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حضور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إجتماع</w:t>
            </w:r>
            <w:r w:rsidDel="00000000" w:rsidR="00000000" w:rsidRPr="00000000">
              <w:rPr>
                <w:rtl w:val="1"/>
              </w:rPr>
              <w:t xml:space="preserve"> ، </w:t>
            </w:r>
            <w:r w:rsidDel="00000000" w:rsidR="00000000" w:rsidRPr="00000000">
              <w:rPr>
                <w:rtl w:val="1"/>
              </w:rPr>
              <w:t xml:space="preserve">يحدد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تلغى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لتخصيص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الموضوع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نظرا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لوروده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معدلا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2  </w:t>
            </w:r>
            <w:r w:rsidDel="00000000" w:rsidR="00000000" w:rsidRPr="00000000">
              <w:rPr>
                <w:rtl w:val="1"/>
              </w:rPr>
              <w:t xml:space="preserve">المخصص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لصدور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منهجيا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وتراتبيا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5</w:t>
            </w:r>
          </w:p>
          <w:p w:rsidR="00000000" w:rsidDel="00000000" w:rsidP="00000000" w:rsidRDefault="00000000" w:rsidRPr="00000000" w14:paraId="000000B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تعدل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الاستعانة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تراه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مناسبا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والدوليين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سبيل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تقتضيه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للوزارة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التعاقد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اختصاص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ببعض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تكلفهم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وبصفة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استشارية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الاستعانة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بالجهات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الاختصاص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وبالخبراء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المؤسسات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البحثية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والأكاديمية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الرسمية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وبالخبراء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الهيئات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والمنظمات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الربحية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المجالات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تستلزم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خبرة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الاستعانة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الفقرة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(1)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النزاهة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وتضارب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والشفافية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E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الاستعانة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التعاقد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مباشرة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مباشرة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منعا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لهيمنة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المنطق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تأثيره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القرارات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ينسجم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مبادئ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استقلالية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تأثير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ليحصر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الاستعانة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بالخبراء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والمؤسسات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والأكاديمية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والخبراء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الربحيين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النزاهة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المصالح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التعاقد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استشارية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ومشاريع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والسياسات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مشاريع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القوانين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بمراقبة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المرتبطة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المتابعة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المستمرة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لمشاريع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المكملة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والتنسيق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الاتساق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والتنظيمي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لائحة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تخضع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استصدارها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المستوردة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وبالشركات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تهجين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مرسوم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تخذ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تشمل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اللائحة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ومنتجي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حفاظا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انطلاقا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لاسيما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وإعلان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UNDROP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ومعارفهم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يتضم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صريحا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وواضحا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يستثني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لائحة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صدرها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E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شكليا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يتلاءم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تضمين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البيروقراطية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استدامتها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استيراد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تصدير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دائم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لمقتضيات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المستعملة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والدراسات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استيراد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تصدير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صنف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دائمة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مؤقتة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جواز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استثناء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المستخدمة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والدراسات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واعتماد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ودعم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وتعزيز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وإعادة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نهائي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استيراد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الكائنات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أشكالها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إضافة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ومنع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الاحتكارية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شأنها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تهديد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5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وإذ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انتشار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الكائنات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 (</w:t>
            </w:r>
            <w:r w:rsidDel="00000000" w:rsidR="00000000" w:rsidRPr="00000000">
              <w:rPr>
                <w:rtl w:val="0"/>
              </w:rPr>
              <w:t xml:space="preserve">GMOs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خطرا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بيئيا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وغذائيا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ليقر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حظرا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نهائيا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استيرادها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يعالج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الناجمة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الاحتكارية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مواردهم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التدابير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لدرء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ومكافحة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الامراض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والآفات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وتفادي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الإنسان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والحيوان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التدابير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لدرء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ومكافحة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الأمراض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والآفات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تصيب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المخاطر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تنجم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سيما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والحيوان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شترط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المقترحات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الأعباء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الاستدامة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إعطاء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الأولوية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للحلول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المتكاملة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للآفات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اللجوء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الوسائل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التدابير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المرتبطة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باستخدام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المبيدات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إدراجها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تعديل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آليات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استشارية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إلزامية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ضمانا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للشفافية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والمساءلة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ومشاركة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أصحاب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المصلحة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القرارات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تمس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والآفات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مباشرا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الإنسان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والحيوان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والبيئة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هنا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صريحا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يكل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التدابير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والعلاجية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استمراريتهم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E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إعطاء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للحلول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المتكاملة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للآفات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IPM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اللجوء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الوسائل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الحديثة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0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والمساءلة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وإشراك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المؤثرة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تدابير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تتعلق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المبيدات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استشارية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التشاركي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توجيه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نحو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حلول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وتوافقية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ليؤسس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الفع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وتكريس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والشفافية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اعداد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الارشادية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والتوعوية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الإرشادية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والتوعوية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عطى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أولوية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للتوعية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بأهمية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ودورها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وتعزيز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والسيادة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وتمكين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باعتبار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الإرشاد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والتوعية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ركيزة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ورفع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كفاءة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بعة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يلب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ملح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بأهمية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بوصفها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جزءا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وعنصرا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أساسيا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8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واعترافا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بالدور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توفير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إرشادية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متخصصة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رفع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نحو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وتشجيع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واستدامتها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ثانيا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الإشراف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إنشاء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الرسمي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لأصحاب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الخضوع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وشتولا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يقومون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تبادل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وأصنافهم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الأسواق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تمييز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ويقو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0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وانطلاقا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وكذلك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يمارسون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وحفظها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الخضوع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فالاستثناء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استمرار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العمود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الريفية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1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فعالا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إضعاف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ثالثا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F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المجموعات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وإدراجها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المجموعات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يتوج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تسجيلها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لأغراض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وإدراجها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المفتوحة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التلقيح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والمتداولة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الأحوال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تضمين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المجموعات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الخاضعة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مجموعات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ضوابط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والمتوارثة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مباشرا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يعتمد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أنظمتهم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والتجانس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FA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ولكي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والمعارف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—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وإعلان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UNDROP</w:t>
            </w:r>
            <w:r w:rsidDel="00000000" w:rsidR="00000000" w:rsidRPr="00000000">
              <w:rPr>
                <w:rtl w:val="1"/>
              </w:rPr>
              <w:t xml:space="preserve">)—</w:t>
            </w:r>
            <w:r w:rsidDel="00000000" w:rsidR="00000000" w:rsidRPr="00000000">
              <w:rPr>
                <w:rtl w:val="1"/>
              </w:rPr>
              <w:t xml:space="preserve">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أشكال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B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المنظ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الأسواق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وجودها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واستمرارها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يرس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مبدأ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احترام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ويحافظ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وتطويرها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C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للنماذج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ثالثا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10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توافرها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الاتجار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ومواصفات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وطرق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انتاجها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الواجب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بغرض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تسجيلها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الاتجار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مواصفات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فئات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وطرق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الخضوع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المفتوحة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التلقيح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إخضاعها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التجانس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الثبات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تتعارض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تؤدي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الممنوحة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والمواصفات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تؤدي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ضبطها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المعتمدة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وتتمي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بتنو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الجيني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الطبيعي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وبالتالي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إقصائها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والتداول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وتحويلها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قانونية</w:t>
            </w:r>
            <w:r w:rsidDel="00000000" w:rsidR="00000000" w:rsidRPr="00000000">
              <w:rPr>
                <w:rtl w:val="1"/>
              </w:rPr>
              <w:t xml:space="preserve">"،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استمرارها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ودورها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5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ومعارفهم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وإعلان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UNDROP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أصبح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صراحة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والمواصفات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فقط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والمتوارثة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الخضوع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المرتبطة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7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تمييز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إقصاء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ثالثا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نهائية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مؤقتة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يتقرر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ضوء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المستجدات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والعالمية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الاتجار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معلل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الاتجار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نهائية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مؤقتة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ثبت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المستجدات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مخاطر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مرتبطة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الحيوان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تخذ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الأحوال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المتوارثة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المتداولة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سمح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باستخدام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يؤدي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تحميل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الصغار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أعباء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لبند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15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مؤقت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F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يتطلب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النقاوة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والتماثل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نفقات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ضخمة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تجريدهم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ويقلل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ثالثا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والطرق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والمستندات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القواعد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والآليات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بالحفاظ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والمستندات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تقتضي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تلتزم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القواعد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مبدأ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الشفافية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جواز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استعمال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قرارات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الرفض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تؤدي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إعاقة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حرمان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الاطلاع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الضرورية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المساءلة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تتعلق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ضوابط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كوسيلة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بنى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الرفض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المرتبطة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بالبندين</w:t>
            </w:r>
            <w:r w:rsidDel="00000000" w:rsidR="00000000" w:rsidRPr="00000000">
              <w:rPr>
                <w:rtl w:val="1"/>
              </w:rPr>
              <w:t xml:space="preserve"> 14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15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مساءلة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7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الحوكمة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الرشيدة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والمساءلة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وعملا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نطاق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بحيث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تقتصر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تقتضي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الحماية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المرتبطة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الابتكارات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المبررات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9">
            <w:pPr>
              <w:widowControl w:val="0"/>
              <w:bidi w:val="1"/>
              <w:spacing w:after="240" w:before="240" w:lineRule="auto"/>
              <w:rPr/>
            </w:pP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ستخدم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كأداة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لإخفاء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والمساءلة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الرشيد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رابعا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المعتمدة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وتحديثها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الجودة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وطنيا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ودوليا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وتحديث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صرامة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رابعا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مواصفات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بالتعاون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مواصفات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العلامات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والبيانات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الإلزامية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الواجب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وضعها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الموثقة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بالتنسيق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والاستهلاك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صرامة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رابعا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متابعة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والأجهزة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المولجة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تقارير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والإشراف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الأجهزة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المخبرية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والوحدات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بإجراء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والتحاليل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صرامة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رابعا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هناك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تلاعب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إلغاء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توضيب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غش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تلاعب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مخالفة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وإحالة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لاتخاذ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الجزائية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والإدارية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اللازمـة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صرامة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رابعا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3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جديدة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الفقرات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(17–20)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والأشخاص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المعنويين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العاملين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استيرادها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الاتجار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الأشخاص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المعنويين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ينتجون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يزرعون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شتولا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يتداولون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خضوع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والهجينة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تستلزم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للتقييد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الإلزامي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وإعلان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UNDROP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جانب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وإسناد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خامسا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4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تعدل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ونقلها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وتحليلها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المستوردة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مخبرية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إلزامية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للتحقق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التزامها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بالمعاهدات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والاتفاقيات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شترط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التحقق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مرحلة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التهجين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التصنيع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تتولى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الإدارات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كشوفات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مفاجئة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إذن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مسبق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مقار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والمختبرات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والمشاغل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وأخذ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العينات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لتحليلها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والتحقق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ً.</w:t>
            </w:r>
          </w:p>
          <w:p w:rsidR="00000000" w:rsidDel="00000000" w:rsidP="00000000" w:rsidRDefault="00000000" w:rsidRPr="00000000" w14:paraId="0000014B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وشفافة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وتحليلها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دق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والمستوردة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تتماشى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4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ويؤكد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خلو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المدخلات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 (</w:t>
            </w:r>
            <w:r w:rsidDel="00000000" w:rsidR="00000000" w:rsidRPr="00000000">
              <w:rPr>
                <w:rtl w:val="0"/>
              </w:rPr>
              <w:t xml:space="preserve">GMOs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نظرا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تسببه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وحرصا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كشوفات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مفاجئة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إذن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مسبق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تلاعب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محتمل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بياناتها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4F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متكاملة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للمخاطر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خامسا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5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تعدل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23</w:t>
            </w:r>
          </w:p>
          <w:p w:rsidR="00000000" w:rsidDel="00000000" w:rsidP="00000000" w:rsidRDefault="00000000" w:rsidRPr="00000000" w14:paraId="0000015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ابداء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يتعذر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بذلك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بالإضافة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يكلفها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صلاحياته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إبداء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مختبرات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لتحليل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تعذ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قيام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المختبرات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الرسمية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والتحاليل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مختبرات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تابعة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للدولة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أمكن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الآليات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لإجراء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اختبارات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العينات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مباشرة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اللبناني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(22) </w:t>
            </w:r>
            <w:r w:rsidDel="00000000" w:rsidR="00000000" w:rsidRPr="00000000">
              <w:rPr>
                <w:rtl w:val="1"/>
              </w:rPr>
              <w:t xml:space="preserve">لتصبح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(23)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موثوقية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ودقة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لاتخاذ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والتداول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ويستند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الملح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والتحاليل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ممكنا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تعزيزا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وتكريسا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معالجة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التعذر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السماح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بإحالة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اللبناني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باعتباره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وتقييمها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0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يبقى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مراحل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الفحص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وضوحه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وسهولة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حدوده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ومجاله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والتنظيمية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1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جوهره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التحاليل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محتمل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تبقى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والفحص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لإشراف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خامسا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6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جديدة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الاقتضاء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عرضها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مختبر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معتمد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بسر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الكشف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المرسلة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طرف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ثالث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صلاحياته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تكليف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إضافية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نطاق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والتنظيمي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جرى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وسهولة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ولتمييز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الدقيقة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باقي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وتؤك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نطاق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اختصاصاتها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والتنظيمية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للمتغيرات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والمستجدات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مرونة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المؤهلة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المرخصين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المشمولين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بمنفعة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مشتركة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يسعوا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تمثلهم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الداخلية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المشتركة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لتأسيسها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المفروضة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لأصحاب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الساعين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تحقيق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منفعة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مشتركة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وتنظيم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تأسيس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تمث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الشفافية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بأهداف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واضحة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تتعلق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برفع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الممارسة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المهنية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وتعزيز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الامتثال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والصحية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أهدافها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وآليات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خدمة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بالتوازن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المؤسسي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التأثير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السماح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المرخ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صين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تمث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ممارساتهم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وتسهيل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إلا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ضوابط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نشوء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نفوذ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الداخلي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للتأثير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لذلك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محددة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تتجاوز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مفهوم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المنفعة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المشتركة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وحده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بالشفافية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المصالح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2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مساندة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للحوكمة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الرشيدة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ضغط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لخدمة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خصوصا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ظل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المؤهلة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جديدة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ونقابات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والمنتجين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الساعين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منفعة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مشتركة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تمث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الداخلية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أهدافها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المشتركة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وتمثيل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ومتوازنة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التعديل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تمثيل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ونقابات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والمنتجين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الصغار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الإطار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المؤسسي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الأساسي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وإكثارها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وتطويرها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ينحصر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التمثيل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التنظيمي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وحدها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B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تعزيز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صنع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ممارساتهم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المهنية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ينشئونها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والصحية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يفرضها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الحفاظ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استقلاليتها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وشفافيتها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تعارض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مصالحها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المصلحة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C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ويأتي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التعديل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استجابة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للضرورة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التشريعية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توازن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مؤسسي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الفلاحين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والمنتجين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الصغار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أخرى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منعا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لهيمنة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طرف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القطاع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المستدامة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تخضع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مسبق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بفتح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المرخصة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لنفس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اعطاء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الاساسي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ممارسة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وتسويق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لترخيص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مسبق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استطلاع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الترخيص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بفتح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فروع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المرخصة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بالترخيص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الأساسي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الترخيص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الأشخاص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ينتجون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يزرعون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شتولا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يمارسون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عفى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الخضوع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ترخيص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تتصل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بأنشطتهم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المتوارثة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ترخيصا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مسبقا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والمشاتل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الكبرى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وتقني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أنشطتهم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لها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تهميش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التاريخي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وإكثارها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تراعى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اعطاء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الأثرية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المصنفة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راعى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إعطاء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الترخيص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والتنظيمية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والسلامة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والمواقع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الأثرية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والسياحية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المصن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عبارة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تخضع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عالجة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والفنية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الاختراع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العبارة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التباس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تشريعي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فسح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لتأويلات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خاطئة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ستخدم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منتجي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لربط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ينشأ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للاصناف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تسجل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الموحدة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متقاربة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بالإضافة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المسؤولة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نقاوة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تسجيله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ويخصص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لـ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"، </w:t>
            </w:r>
            <w:r w:rsidDel="00000000" w:rsidR="00000000" w:rsidRPr="00000000">
              <w:rPr>
                <w:rtl w:val="1"/>
              </w:rPr>
              <w:t xml:space="preserve">وأصناف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المتأقلمة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الظروف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سلالة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محلية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بهدف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تعترف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لقدرتها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التكييف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التحمل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واهميتها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التراثية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سلالات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خطوط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نقية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متقاربة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وكذلك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التلقيح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المسؤولة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الحفاظ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نقاوة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الصنف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تسجيله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لـ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المتأقلمة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الظروف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السلالات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تعريفها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وتوثيقها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وحفظها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باعتبارها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نشأت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المجتمعات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لقدرتها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التكي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والتحم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وقيمتها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مقاربة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ملائمة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والقانونية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وهي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تنطبق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المتأقلمة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الواسع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0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المفروضة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1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تقييد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وإلزامهم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يستطيعون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تلبيتها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استمرار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2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تجريد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طابعها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وتحويلها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مقيدة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داخل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يفتح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التحكم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3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وحافظت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الأجيال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5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ملاءمة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يحكم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تعتمد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المشترك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الظروف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6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التعارض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7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شطب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العبارة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خصوصية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دمجها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تشريعية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تطالها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اختيارية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ومجتمعية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للاصناف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المتبادلة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بينهم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المستوردة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تصديرها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شرط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تجاوزها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منافذ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الحدودية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الشحنة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منفذ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آخر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اشرافها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استعمالها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لأبحاث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علمية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يقررها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A4">
            <w:pPr>
              <w:widowControl w:val="0"/>
              <w:bidi w:val="1"/>
              <w:spacing w:after="160" w:line="256.7994545454545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أغراض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المتبادلة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بينهم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5">
            <w:pPr>
              <w:widowControl w:val="0"/>
              <w:bidi w:val="1"/>
              <w:spacing w:after="160" w:line="256.7994545454545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المستوردة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حصرا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بغرض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إعادة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تصديرها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تجاوزها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منافذ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الحدودية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الشحنة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منفذ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آخر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الحصول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موافقة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مسبقة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وتحت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إشرافها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ورقابتها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6">
            <w:pPr>
              <w:widowControl w:val="0"/>
              <w:bidi w:val="1"/>
              <w:spacing w:after="160" w:line="256.7994545454545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موافقة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لأغراض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الأبحاث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يراعى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3"/>
              </w:numPr>
              <w:bidi w:val="1"/>
              <w:spacing w:after="0" w:afterAutospacing="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ٍّ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أقصى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للكميات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المسموح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باستيرادها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للأغراض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البحثية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بحيث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تتجاوز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الحدود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المعيارية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للتجارب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المخبرية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والميدانية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ضمانا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لعدم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تحويلها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قناة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لتمرير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ً.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3"/>
              </w:numPr>
              <w:bidi w:val="1"/>
              <w:spacing w:after="160" w:line="256.7994545454545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صريح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استيراد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GMOs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تجربة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تخذ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تدابير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احترازية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مشد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بقرار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استطلاع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الحيوية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سمح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الضرورة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القصوى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الكوارث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الأوبئة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ظروف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تهدد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بقرار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ملزم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الضرورة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وحدودها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الأسواق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إلا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شمول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تمييز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يؤد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تمس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B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فالأصناف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ينتجها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التبادل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قانونية</w:t>
            </w:r>
            <w:r w:rsidDel="00000000" w:rsidR="00000000" w:rsidRPr="00000000">
              <w:rPr>
                <w:rtl w:val="1"/>
              </w:rPr>
              <w:t xml:space="preserve">"،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باندثارها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ويقو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C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السماح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باستيراد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التصدير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مشددة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منفذ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لإدخال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مسجلة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ضوابط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صارمة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وإشراف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D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أما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السماح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مسجلة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فيجب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حدود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دقيقة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للاتجار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دخول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يستدعي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سقف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صارم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الأبحاث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تدابير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E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وأخيرا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فإن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فتح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مسجلة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القصوى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توسع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الاستثناءات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المتخذة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ظروف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الضغط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F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لذلك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(2)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التباسات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إساءة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للاستثناءات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للجمهورية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اللبنانية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يعتبر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شرطا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اساسيا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لمشروعية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يعتبر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شرطا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اساسيا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لمشروعية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وتسويق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صنف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ينتجها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بمفردهم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جماعات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سمح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بحفظها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وإكثارها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وإعادة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الفائض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نطاق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ينسجم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الأعراف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المبادئ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المعاهدة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بشأن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للأغذية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لشرط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إداري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استمرار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المفتوحة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التلقيح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تشترط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المسبق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“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” </w:t>
            </w:r>
            <w:r w:rsidDel="00000000" w:rsidR="00000000" w:rsidRPr="00000000">
              <w:rPr>
                <w:rtl w:val="1"/>
              </w:rPr>
              <w:t xml:space="preserve">كشرط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لمشروعية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ملائمة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فهذه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بتنو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الطبيعي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يجعل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إخضاعها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تعجيزيا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تهميشها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8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وإن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يضعهم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ممارساتهم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التاريخية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ويهدد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القائم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وإكثارها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“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قانونية</w:t>
            </w:r>
            <w:r w:rsidDel="00000000" w:rsidR="00000000" w:rsidRPr="00000000">
              <w:rPr>
                <w:rtl w:val="1"/>
              </w:rPr>
              <w:t xml:space="preserve">” </w:t>
            </w:r>
            <w:r w:rsidDel="00000000" w:rsidR="00000000" w:rsidRPr="00000000">
              <w:rPr>
                <w:rtl w:val="1"/>
              </w:rPr>
              <w:t xml:space="preserve">بحكم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مساسا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جوهريا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9">
            <w:pPr>
              <w:widowControl w:val="0"/>
              <w:bidi w:val="1"/>
              <w:spacing w:after="160" w:line="276.000545454545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لذلك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ويستثنيها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قو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ديمومتها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الفائض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جديدة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bidi w:val="1"/>
              <w:spacing w:after="160" w:line="276.000545454545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جانب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الاختياري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تشاركية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ممثلي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والجهات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ويكون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طوعيا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ومجانيا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تجانس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نمط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وحمايته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القرصنة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الحيوية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بقاء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للمجتمعات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رصيدا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وطنيا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تراكم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أجيال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المجتمعية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أثبتت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قدرتها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الفريدة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التكي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الظروف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ومقاومة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التغي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المناخي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والمساهمة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المجتمعات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إدراجها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الطابع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صارمة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والثبات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DUS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تهميشها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استبعادها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المتنوعة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4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أبرزها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C5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الضياع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التدريجي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التوسع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الموح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6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القرصنة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طفيف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7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الاستحواذ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تنتمي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8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تهديد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روها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تاريخيا</w:t>
            </w:r>
            <w:r w:rsidDel="00000000" w:rsidR="00000000" w:rsidRPr="00000000">
              <w:rPr>
                <w:rtl w:val="1"/>
              </w:rPr>
              <w:t xml:space="preserve">ً.</w:t>
            </w:r>
          </w:p>
          <w:p w:rsidR="00000000" w:rsidDel="00000000" w:rsidP="00000000" w:rsidRDefault="00000000" w:rsidRPr="00000000" w14:paraId="000001C9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وانسجاما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تؤكد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مادتيها</w:t>
            </w:r>
            <w:r w:rsidDel="00000000" w:rsidR="00000000" w:rsidRPr="00000000">
              <w:rPr>
                <w:rtl w:val="1"/>
              </w:rPr>
              <w:t xml:space="preserve"> (9)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(10)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مواردهم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يقوم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يلي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CA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الطوعي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والمجاني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B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التشاركية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ممثلي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C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خصائصها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الاستيلاء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D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القرصنة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E">
            <w:pPr>
              <w:widowControl w:val="0"/>
              <w:bidi w:val="1"/>
              <w:spacing w:after="160" w:line="276.000545454545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الاختياري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والتقليدية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كآلية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وتشريعية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ضرورية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وتمكين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المحافظة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التراثية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بعيدا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طبيعتها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  <w:p w:rsidR="00000000" w:rsidDel="00000000" w:rsidP="00000000" w:rsidRDefault="00000000" w:rsidRPr="00000000" w14:paraId="000001D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1D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وسريتها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1-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وصفا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تفصيلي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للصنف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جانب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المستندات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قبوله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5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طالب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وعندها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منعا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باتا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الموظفين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المفوضين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الافصاح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تحتويها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انفاذا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قضائي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دقائق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6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3-</w:t>
            </w: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للمربي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الحفاظ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المكونات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والاصطناعية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7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</w:t>
            </w:r>
            <w:r w:rsidDel="00000000" w:rsidR="00000000" w:rsidRPr="00000000">
              <w:rPr>
                <w:rtl w:val="1"/>
              </w:rPr>
              <w:t xml:space="preserve">تحفظ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المرعية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D8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ترغب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الحفاظ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المكو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العائدة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الهجينة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الاصطناعية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وكذلك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بالاختبارات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والتجارب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المرتبطة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بتسجيل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وسري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القوانين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المبدعين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والملكية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الفكرية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والاصطناعية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إحالة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المرعي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الفكرية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المبتكرين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وتؤم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إطارا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رسميا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واضحا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الحس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المرتبطة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بعيدا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بطبيعتها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الابتكارات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لأغراض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الابتكار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وضرورات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B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مالكي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شبه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مطلق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إخفاء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الجوهرية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السلسلة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الهجينة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الاصطناعية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يتعارض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والمستهلكين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يزرعونه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يستهلكونه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الباحثون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المحتملة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التلوث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الجيني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بمبادئ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والمساءلة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حجب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منافسة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سيطرة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الابتكار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C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بالموظفين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المكل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الكشف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قضائي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فهو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احتكار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بيروقراطي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ويعرقل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إمكانية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الباحثين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والعلماء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المستقلين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الجامعات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الحكومية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المفص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معق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والجوهر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كشف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الثغرات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1-</w:t>
            </w:r>
            <w:r w:rsidDel="00000000" w:rsidR="00000000" w:rsidRPr="00000000">
              <w:rPr>
                <w:rtl w:val="1"/>
              </w:rPr>
              <w:t xml:space="preserve">تقوم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". 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تنشأ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متخصصة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كفاءة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مثبتة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المتطلبات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الخضروات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1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1-</w:t>
            </w:r>
            <w:r w:rsidDel="00000000" w:rsidR="00000000" w:rsidRPr="00000000">
              <w:rPr>
                <w:rtl w:val="1"/>
              </w:rPr>
              <w:t xml:space="preserve">تقوم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"،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وخصائص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وظروف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الحقلي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خصخصة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وظيفة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وسيادية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ترتبط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والتحق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ويتيح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المصالح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ترتبط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المستفيدة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يمس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استقلالية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ويجعل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والنقاوة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هي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المهيمنة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الطبيعي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إضافة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فإن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قصي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إذ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بإشراك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اللبناني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المتخصصة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رغم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يقتضي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المتنوع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On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farm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performance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المطلق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اشتراط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سلسلة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المراحل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البيروقراطية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يثني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الأصغر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سيطرة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الكبرى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يصبح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التفويض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بصيغته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أداة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المتجانسة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وتتعارض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واستبداله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والخبراء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محايدة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ومتخصصة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والتقليدية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6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المفوضة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استقلاليتها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وكفاءة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مهامها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 </w:t>
            </w:r>
            <w:r w:rsidDel="00000000" w:rsidR="00000000" w:rsidRPr="00000000">
              <w:rPr>
                <w:rtl w:val="1"/>
              </w:rPr>
              <w:t xml:space="preserve">تنشأ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الوزارة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توصية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وتتولى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"،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الخضروات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3-</w:t>
            </w:r>
            <w:r w:rsidDel="00000000" w:rsidR="00000000" w:rsidRPr="00000000">
              <w:rPr>
                <w:rtl w:val="1"/>
              </w:rPr>
              <w:t xml:space="preserve">تتحمل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مسؤولية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3- 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والمراكز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والجامعات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الاختصاص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المثبتة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توصية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</w:t>
            </w:r>
            <w:r w:rsidDel="00000000" w:rsidR="00000000" w:rsidRPr="00000000">
              <w:rPr>
                <w:rtl w:val="1"/>
              </w:rPr>
              <w:t xml:space="preserve">تكل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المفوضة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7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دراسة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َّ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الأخرى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المخولة</w:t>
            </w:r>
            <w:r w:rsidDel="00000000" w:rsidR="00000000" w:rsidRPr="00000000">
              <w:rPr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F8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إعداد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وتحليله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 </w:t>
            </w:r>
            <w:r w:rsidDel="00000000" w:rsidR="00000000" w:rsidRPr="00000000">
              <w:rPr>
                <w:rtl w:val="1"/>
              </w:rPr>
              <w:t xml:space="preserve">تلتزم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المفو</w:t>
            </w:r>
            <w:r w:rsidDel="00000000" w:rsidR="00000000" w:rsidRPr="00000000">
              <w:rPr>
                <w:rtl w:val="1"/>
              </w:rPr>
              <w:t xml:space="preserve">َّ</w:t>
            </w:r>
            <w:r w:rsidDel="00000000" w:rsidR="00000000" w:rsidRPr="00000000">
              <w:rPr>
                <w:rtl w:val="1"/>
              </w:rPr>
              <w:t xml:space="preserve">ضة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استقلاليتها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وكفاءة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بنيتها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الموكلة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إليها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وتتحم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مسؤولية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"،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دراسة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المقد</w:t>
            </w:r>
            <w:r w:rsidDel="00000000" w:rsidR="00000000" w:rsidRPr="00000000">
              <w:rPr>
                <w:rtl w:val="1"/>
              </w:rPr>
              <w:t xml:space="preserve">َّ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المرب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وإعداد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وتحليله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المعتمدة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1-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تفرض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توثيقا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المثمرة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الحقلية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موثقة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F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</w:t>
            </w:r>
            <w:r w:rsidDel="00000000" w:rsidR="00000000" w:rsidRPr="00000000">
              <w:rPr>
                <w:rtl w:val="1"/>
              </w:rPr>
              <w:t xml:space="preserve">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0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3-</w:t>
            </w: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للوزارة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وفقا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للضرورة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المناطق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الموثقة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1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سمح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خلطات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مكوناتها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استوفت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الخلط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2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5-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للوزارة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تفويض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حكومية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متخصصة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محايدة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حتى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أنشائها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بشرط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خبرتها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وكفاءتها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واستقلاليتها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مرحلة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مراحل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المعالجة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والحفظ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لوزارة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تفرض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توثيقا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إلزاميا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المسجلة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المثمرة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المحاصيل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الحقلية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يمنع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الفئات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توثيقها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رسمي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أساسية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موثقة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يقتصر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للتسويق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والموج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الأسواق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للتصدير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والمواصفات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تحدد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بمرسوم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يتخذ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وتوصية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الإلزامي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المتداولة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الأنظمة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نتج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مجتمعيا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والحرجية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المفتوحة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التلقيح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تشك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جزءا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7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تبادل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مجاني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عرفي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للفائض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الجمعيات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والتعاونيات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نظاما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وطنيا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لحماية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يشمل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وقائية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إنشاء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مناطق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عازلة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حيث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تدعو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التلوث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استمرارية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4-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يؤدي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التوثيق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الإلزامي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اتخاذ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احتكار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لسلسلة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الإمداد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تقييد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انسجاما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التزامات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لبنان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الاتفاقيات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0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باطلا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يؤد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انتشار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المجتمعات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يقي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آليات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يشك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ضرورة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استثنائية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تتعل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بسلامة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بمرسوم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توصية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B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15 </w:t>
            </w:r>
            <w:r w:rsidDel="00000000" w:rsidR="00000000" w:rsidRPr="00000000">
              <w:rPr>
                <w:rtl w:val="1"/>
              </w:rPr>
              <w:t xml:space="preserve">تخدم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الموث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ترقى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إذ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المفتوحة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تقتضي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مناطق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عازلة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Buffer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Zones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تحول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التلوث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الناتج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التلقيح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الخلطي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يتضمنه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القائم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الصيغة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تعتمد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نموذجا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تنظيميا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مركزيا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أسفل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down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Model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حيث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يبقى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تهميش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وإقصاء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مشاركتهم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اتخاذ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ويؤسس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توثيق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إلزامي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استيفاء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نظاما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احتكاريا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يقي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يديرها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المزارعون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Informal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Seed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Systems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ويشك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عبئا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ماليا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وإداريا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منافيا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القائم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يتعارض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للبنان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الواردة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9 </w:t>
            </w:r>
            <w:r w:rsidDel="00000000" w:rsidR="00000000" w:rsidRPr="00000000">
              <w:rPr>
                <w:rtl w:val="1"/>
              </w:rPr>
              <w:t xml:space="preserve">منها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وكذلك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إعلان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UNDROP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واستبدالها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تشاركية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مواردهم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إبراز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الترخيص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بالملصقات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الموضبة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توضيبها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التوضيب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يعتبر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مخالفة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جزائية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يعاقب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التلاعب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المدونة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العبوة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بالملصقات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تحملها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عبوات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الموثقة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الموضبة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توضيبها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للمعايير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إعادة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التوضيب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يعتبر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مخالفة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جزائية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يعاقب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التلاعب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بالمعلومات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المدونة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العبوة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الجديدة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الملصقات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والتوضيب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مجتمعيا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وعرفيا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الممارسات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التقليدية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13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الملصقات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والتتب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بعبوات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والمستهلكين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والتلاعب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التوضيب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تستوجب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صارمة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وتجريم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تلاعب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المثبتة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العبوة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16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حرفية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الممارسات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عبئا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قانونيا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وماليا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الصغار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ويقي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قدرتهم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الفائض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ولذلك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والمتبادلة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عرفيا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المتطلبات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حفاظا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ودعما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وتعزيزا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شروط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الأعمال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المحظورة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يحظر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معنوي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استيراد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تصدير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تخزين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توضيب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توضيب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توزيع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مسجلا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التحسين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استيراد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تصدير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تخزين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توضيب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إعادة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توضيب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صنف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يكن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الرسمي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لأصحاب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ستثنى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المحاصيل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والحرجية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لغرض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الذاتي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إكثارها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التجاري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ضمانا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لاستمرارية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البلدية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والأصيلة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البيولوجي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وتأكيدا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والسيادة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1D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اشتراط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الجودة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المسؤوليات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مجهولة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المصدر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يتقاطع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النماذج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المعتمدة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UPOV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تفض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المتمي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والمتجانسة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والمستقر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وتفتح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الكبرى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للتحك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بسلسلة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الإمداد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نحو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1F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ولتفادي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يسمح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والحرجية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بصورة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حفاظا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وتعزيزا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وتأكيدا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لمبدأي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يوازن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للقطاع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المستدامة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احكام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تحدد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آلية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الأنواع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الخاضعة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مرسوم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الوزراء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تحقيقا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لغايتين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رئيسيتين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27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الضمانات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والمؤسسية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إشراك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المرتبطة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الخاضعة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نظرا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والمراجعة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الآليات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اتساقها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والأولويات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9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ثانيا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يحقق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والانسجام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حيث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إصدار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المراسيم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يستوجب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تنسيقا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مؤسساتيا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أوسع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تغي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المحتملة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B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والتنظيمي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ضفي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الإلزامية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اتباعها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الفاعلين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مستندة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توصية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مراجعة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حكومية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شاملة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للبلاد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D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وبناء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عليه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وتوحيد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المرجعيات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وشفافيتها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وتكريس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الثامنة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احكام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31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جديدة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تخضع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والمغذ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والأسمدة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والمرك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والمنش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وسائر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المدخلات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يثبت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تضر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بالبيئة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بجودة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التربة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بالصحة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المقاومة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للأصناف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التحقق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الالتزام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بالشروط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والمتطلبات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المعمول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الرقابة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والمبيدات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تداولها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دوليا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الاتفاقيات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البيئية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الملز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وطنيا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قرارات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وزارية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نافذة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للموظفين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المختص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ممارسة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الصلاحيات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المدخلات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مرافق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إنتاجها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وتخزينها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وتجارتها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الملح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وسائر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المدخلات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خصوصا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ظل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انتشار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منتجات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مطابقة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للمواصفات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محظورة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دوليا</w:t>
            </w:r>
            <w:r w:rsidDel="00000000" w:rsidR="00000000" w:rsidRPr="00000000">
              <w:rPr>
                <w:rtl w:val="1"/>
              </w:rPr>
              <w:t xml:space="preserve">ً. </w:t>
            </w:r>
            <w:r w:rsidDel="00000000" w:rsidR="00000000" w:rsidRPr="00000000">
              <w:rPr>
                <w:rtl w:val="1"/>
              </w:rPr>
              <w:t xml:space="preserve">ويهدف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وفع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لمراقبة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ومرافق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وتخزينها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وتداولها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ويؤم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التربة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ويرس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متكامل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التاسعة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المضبوطة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لإتلافها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التخلص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اعادتها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مصدرها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بالمزاد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الخزينة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وازالة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الشوائب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والاضرار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قضائي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التخلص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والتجهيزات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المضبوطة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بقاؤها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محضر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المضبوطة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لإتلافها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التخلص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اعادتها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مصدرها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بالمزاد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الخزينة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وازالة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الشوائب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والاضرار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الناتجة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قضائي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التخلص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والتجهيزات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المضبوطة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بقاؤها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محضر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رسمي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صاحب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وتماسك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السابع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التاسعة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والرقابة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اعلاه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صاحب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أصحاب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العلاقة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يحق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للموظفين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أعلاه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التفتيش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الكشف</w:t>
            </w:r>
            <w:r w:rsidDel="00000000" w:rsidR="00000000" w:rsidRPr="00000000">
              <w:rPr>
                <w:rtl w:val="1"/>
              </w:rPr>
              <w:t xml:space="preserve">ُ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والمغذيات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والأسمدة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والمرك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والمنش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طات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وغيرها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المدخلات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يثبت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لحق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بالبيئة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المقاومة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الطبيعية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للتأكد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محظور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دوليا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الملز</w:t>
            </w:r>
            <w:r w:rsidDel="00000000" w:rsidR="00000000" w:rsidRPr="00000000">
              <w:rPr>
                <w:rtl w:val="1"/>
              </w:rPr>
              <w:t xml:space="preserve">ِ</w:t>
            </w:r>
            <w:r w:rsidDel="00000000" w:rsidR="00000000" w:rsidRPr="00000000">
              <w:rPr>
                <w:rtl w:val="1"/>
              </w:rPr>
              <w:t xml:space="preserve">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وطنيا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نافذة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للموظفين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الصلاحيات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وتماسك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واستبدلت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بشمول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والمغذيات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والأسمدة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والمركبات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نشطات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وغيرها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المدخلات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الزراعية</w:t>
            </w:r>
            <w:r w:rsidDel="00000000" w:rsidR="00000000" w:rsidRPr="00000000">
              <w:rPr>
                <w:rtl w:val="1"/>
              </w:rPr>
              <w:t xml:space="preserve">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zbi9j4gk0kg7" w:id="0"/>
            <w:bookmarkEnd w:id="0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  <w:p w:rsidR="00000000" w:rsidDel="00000000" w:rsidP="00000000" w:rsidRDefault="00000000" w:rsidRPr="00000000" w14:paraId="00000248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rPr>
                <w:sz w:val="22"/>
                <w:szCs w:val="22"/>
              </w:rPr>
            </w:pPr>
            <w:bookmarkStart w:colFirst="0" w:colLast="0" w:name="_h6d4wkxxhfzk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ستمائة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، 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وخمسة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وعشرين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ستثنى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يثبت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قيامه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التقليدية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بقصد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زراعتها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مبادلتها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الأغراض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بالاستناد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باعتباره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متحركا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لغي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متكررة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تدهور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الأجنبية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تعطيل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والبطء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النواب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رادع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yxtk076ptpxo" w:id="2"/>
            <w:bookmarkEnd w:id="2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  <w:p w:rsidR="00000000" w:rsidDel="00000000" w:rsidP="00000000" w:rsidRDefault="00000000" w:rsidRPr="00000000" w14:paraId="0000024F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rPr>
                <w:sz w:val="22"/>
                <w:szCs w:val="22"/>
              </w:rPr>
            </w:pPr>
            <w:bookmarkStart w:colFirst="0" w:colLast="0" w:name="_on8k14mnag75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ثلاثمائة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وخمسين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مسبق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اثني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ضعفا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وخمسين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ضعفا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يمارس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ترخيص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مسبق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bskuz5lw4hpu" w:id="4"/>
            <w:bookmarkEnd w:id="4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  <w:p w:rsidR="00000000" w:rsidDel="00000000" w:rsidP="00000000" w:rsidRDefault="00000000" w:rsidRPr="00000000" w14:paraId="00000256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rPr>
                <w:sz w:val="22"/>
                <w:szCs w:val="22"/>
              </w:rPr>
            </w:pPr>
            <w:bookmarkStart w:colFirst="0" w:colLast="0" w:name="_hd1tssl4891f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عشرة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المحظورة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الممنوعة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يتخلص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عبواتها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النفايات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بطريقة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الإنسان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bidi w:val="1"/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وسبعين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ثلاثمئة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وخمسين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،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المحظورة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الممنوعة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يتخلص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عبواتها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النفايات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بطريقة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الإنسان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البيئة</w:t>
            </w:r>
            <w:r w:rsidDel="00000000" w:rsidR="00000000" w:rsidRPr="00000000">
              <w:rPr>
                <w:rtl w:val="1"/>
              </w:rPr>
              <w:t xml:space="preserve">. 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يطور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أضرارا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لمتطلباتها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مخالفة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أخلاقيات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التلاعب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الفحوصات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مستنيرة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بالاستناد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باعتباره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متحركا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لغي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متكررة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تدهور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الأجنبية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تعطيل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والبطء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النواب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رادع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يكفل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محاسبة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يطور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أصناف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إثبات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أضرارا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لمتطلباتها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السامة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مخالفة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أخلاقيات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الحقول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التلاعب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الفحوصات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مستنيرة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lk3dbw7lfbaf" w:id="6"/>
            <w:bookmarkEnd w:id="6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  <w:p w:rsidR="00000000" w:rsidDel="00000000" w:rsidP="00000000" w:rsidRDefault="00000000" w:rsidRPr="00000000" w14:paraId="0000025D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rPr>
                <w:sz w:val="22"/>
                <w:szCs w:val="22"/>
              </w:rPr>
            </w:pPr>
            <w:bookmarkStart w:colFirst="0" w:colLast="0" w:name="_s7i3br3a7jy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17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غرامة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وثلاثين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ضعفا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الأدنى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للأجور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تزيد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مئة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وخمسة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وعشرين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ضعفا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الأدنى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للأجور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الحبس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تزيد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ثلاث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يخالف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17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بالاستناد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باعتباره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متحركا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لغي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متكررة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تدهور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الأجنبية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تعطيل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والبطء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النواب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رادع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rpwkvppbihf4" w:id="8"/>
            <w:bookmarkEnd w:id="8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  <w:p w:rsidR="00000000" w:rsidDel="00000000" w:rsidP="00000000" w:rsidRDefault="00000000" w:rsidRPr="00000000" w14:paraId="00000264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rPr>
                <w:sz w:val="22"/>
                <w:szCs w:val="22"/>
              </w:rPr>
            </w:pPr>
            <w:bookmarkStart w:colFirst="0" w:colLast="0" w:name="_9tgm8nbv4ggw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غرامة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مليارات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موظف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13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حتى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انتهاء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خدمته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غرامة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وسبعين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ضعفا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الأدنى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للأجور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تزيد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مئتين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وأربعة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ضعفا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للحد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الأدنى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للأجور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الحبس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تقل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تزيد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ثلاث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موظف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يخالف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13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حتى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انتهاء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خدمته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بالاستناد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للأجور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باعتباره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متحركا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لغي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متكررة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تدهور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الأجنبية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تعطيل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والبطء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النواب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رادع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gb243fbeajsb" w:id="10"/>
            <w:bookmarkEnd w:id="10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تضاعف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اعلاه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ويحرم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ممارسة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الاكثار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تضاعف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العقوبات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الفقرات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1، 2، 3،  ،4 ،5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اعلاه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تكرار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ويحرم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ممارسة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تجارة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والشتول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الاكثار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تسجيلها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zbi9j4gk0kg7" w:id="0"/>
            <w:bookmarkEnd w:id="0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العقوبات</w:t>
            </w:r>
          </w:p>
          <w:p w:rsidR="00000000" w:rsidDel="00000000" w:rsidP="00000000" w:rsidRDefault="00000000" w:rsidRPr="00000000" w14:paraId="0000027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أولا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الآتية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ثانيا</w:t>
            </w:r>
            <w:r w:rsidDel="00000000" w:rsidR="00000000" w:rsidRPr="00000000">
              <w:rPr>
                <w:rtl w:val="1"/>
              </w:rPr>
              <w:t xml:space="preserve">ً،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مقاضاة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ومعاقبة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مقاضاة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لحسابه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ثبتت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مسؤوليته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الافعال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والعكس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ايضا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والتعويض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الافعال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مقاضاة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ومعاقبة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المعنوي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مقاضاة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طبيعي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لحسابه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متى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ثبتت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مسؤوليته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والعكس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يحق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التعويض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لحقه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ضرر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جراء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وتستند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العقوبات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مبدأ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المسؤولية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المطلقة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للمشغ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الفني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 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تحميل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الشخص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الطبيعي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ّ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المدرك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للمسؤولية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ناتجة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يثبت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عكس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76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9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الإفلات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العقاب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تأكيد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مقاضاة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ملاحقة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الطبيعي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المسؤول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والعكس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أيضا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كفالة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المتضررين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التعويض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مبدأ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المسؤولية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للمشغ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المسؤولية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وحدها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المدرك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أعباء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يتحم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لها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رسي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قواعد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للمساءلة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المتضررين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ويعز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color w:val="0f4761"/>
                <w:sz w:val="22"/>
                <w:szCs w:val="22"/>
              </w:rPr>
            </w:pPr>
            <w:bookmarkStart w:colFirst="0" w:colLast="0" w:name="_az7xthnrs8wx" w:id="11"/>
            <w:bookmarkEnd w:id="11"/>
            <w:r w:rsidDel="00000000" w:rsidR="00000000" w:rsidRPr="00000000">
              <w:rPr>
                <w:color w:val="0f4761"/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color w:val="0f476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f4761"/>
                <w:sz w:val="22"/>
                <w:szCs w:val="22"/>
                <w:rtl w:val="1"/>
              </w:rPr>
              <w:t xml:space="preserve">الثامن</w:t>
            </w:r>
            <w:r w:rsidDel="00000000" w:rsidR="00000000" w:rsidRPr="00000000">
              <w:rPr>
                <w:color w:val="0f4761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color w:val="0f4761"/>
                <w:sz w:val="22"/>
                <w:szCs w:val="22"/>
                <w:rtl w:val="1"/>
              </w:rPr>
              <w:t xml:space="preserve">العقوبات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ثالثا</w:t>
            </w:r>
            <w:r w:rsidDel="00000000" w:rsidR="00000000" w:rsidRPr="00000000">
              <w:rPr>
                <w:rtl w:val="1"/>
              </w:rPr>
              <w:t xml:space="preserve">ً،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الفنية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المذكورة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80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تلغى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يأتي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الفقرة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تجنبا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حكومي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يشك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بمبدأ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الجزائية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محددة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حصرا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الصادر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83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اجتهاد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تبد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الحكومية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العقابي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كأداة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ضغط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الفاعلين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وبذلك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يبقى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محصورا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بالمجلس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النيابي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تعزيزا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السلطات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وضمانا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للشفافية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والعدالة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العقوبات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tacyccfcyarr" w:id="12"/>
            <w:bookmarkEnd w:id="12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التاسع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احكام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ختامية</w:t>
            </w:r>
          </w:p>
          <w:p w:rsidR="00000000" w:rsidDel="00000000" w:rsidP="00000000" w:rsidRDefault="00000000" w:rsidRPr="00000000" w14:paraId="00000285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zbi9j4gk0kg7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مراعاة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والإقليمية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تراعى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ونصوصه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التطبيقية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والإقليمية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صادق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والتوصيات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تراعى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ونصوصه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التطبيقية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الاتفاقيات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والإقليمية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صادق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لبنان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والتوصيات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يضمن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السيادة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يتعارض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مبدأ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المزارعين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بذورهم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واستخدامها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وتبادلها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وبيعها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لتأكيد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اللبنانية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بالاتفاقيات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والإقليمية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صادقت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البيولوجي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ترعى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فغياب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يفرض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احترام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تتعارض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واجبات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تمس</w:t>
            </w:r>
            <w:r w:rsidDel="00000000" w:rsidR="00000000" w:rsidRPr="00000000">
              <w:rPr>
                <w:rtl w:val="1"/>
              </w:rPr>
              <w:t xml:space="preserve">ّ 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واستخدامها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وتبادلها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وبيعها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كر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ستها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ITPGRFA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وإعلان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الفلاحين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UNDROP</w:t>
            </w:r>
            <w:r w:rsidDel="00000000" w:rsidR="00000000" w:rsidRPr="00000000">
              <w:rPr>
                <w:rtl w:val="1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nix56nvjl1ha" w:id="13"/>
            <w:bookmarkEnd w:id="13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التاسع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احكام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ختامية</w:t>
            </w:r>
          </w:p>
          <w:p w:rsidR="00000000" w:rsidDel="00000000" w:rsidP="00000000" w:rsidRDefault="00000000" w:rsidRPr="00000000" w14:paraId="0000028C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tacyccfcyarr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والعشرون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8E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مهلة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إصدار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التطبيقية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تصدر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الحكومة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المراسيم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تتجاوز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نفاذه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وزير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تصدر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الحكومة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المراسيم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والقرارات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التنظيمية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لتطبيق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مهلة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تتجاوز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أشهر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صدوره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الجريدة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الرسمية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إقتراح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وزير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2">
            <w:pPr>
              <w:widowControl w:val="0"/>
              <w:bidi w:val="1"/>
              <w:spacing w:after="16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تماشيا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صدوره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الجريدة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المراسيم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أبعد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94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u10zl69uwzb0" w:id="14"/>
            <w:bookmarkEnd w:id="14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التاسع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احكام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ختامية</w:t>
            </w:r>
          </w:p>
          <w:p w:rsidR="00000000" w:rsidDel="00000000" w:rsidP="00000000" w:rsidRDefault="00000000" w:rsidRPr="00000000" w14:paraId="00000296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nix56nvjl1ha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والعشرون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إلغاء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تلغى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المتوافقة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مضمونه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لغى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والتنظيمية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المخالفة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المتوافقة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مضمونه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باستثناء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بتنظيم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ضبط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حظر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الكائنات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المعدلة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وراثيا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ً،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وكذلك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النافذة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المتصلة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المعاهدة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الدولية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بشأن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النباتية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للأغذية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والزراعة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ITPGRFA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والتي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عتبر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مكملة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قابلة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للإلغاء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بموجب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أحكامه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صياغة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إلغاء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إبطال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تعطيل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المزارعين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الزراعي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تنظ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الكائنات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المعاهدة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النباتية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للأغذية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C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ولمنع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فراغ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تغليب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جاء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استثناءات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نافذة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ومكم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للقانون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خصوصا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تلك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استيراد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شتول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وراثيا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E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ويهدف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التعديل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انسجام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مبادئ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الوراثي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التعارض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الغذائي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والزراعية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تتولاها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Style w:val="Heading2"/>
              <w:keepNext w:val="0"/>
              <w:keepLines w:val="0"/>
              <w:widowControl w:val="0"/>
              <w:bidi w:val="1"/>
              <w:spacing w:after="80" w:before="160" w:line="241.69447058823528" w:lineRule="auto"/>
              <w:rPr>
                <w:sz w:val="22"/>
                <w:szCs w:val="22"/>
              </w:rPr>
            </w:pPr>
            <w:bookmarkStart w:colFirst="0" w:colLast="0" w:name="_u10zl69uwzb0" w:id="14"/>
            <w:bookmarkEnd w:id="14"/>
            <w:r w:rsidDel="00000000" w:rsidR="00000000" w:rsidRPr="00000000">
              <w:rPr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التاسع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احكام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ختامية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الخامسة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والعشرون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بالقانون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bidi w:val="1"/>
              <w:spacing w:after="240" w:before="240" w:line="256.7994545454545" w:lineRule="auto"/>
              <w:rPr/>
            </w:pPr>
            <w:r w:rsidDel="00000000" w:rsidR="00000000" w:rsidRPr="00000000">
              <w:rPr>
                <w:rtl w:val="1"/>
              </w:rPr>
              <w:t xml:space="preserve">يعمل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الجريدة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bidi w:val="1"/>
              <w:spacing w:after="240" w:before="240" w:line="256.799454545454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يعمل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بهذا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القانون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انقضاء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ستة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أشهر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نشره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الجريدة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الرسمية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نشر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المراسيم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والقرارات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التنظيمية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المنصوص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الثالثة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والعشرون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أيهما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أبعد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لضمان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الجاهزية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الإجرائية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وتوفير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فرصة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كافية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للمجتمع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الزراعي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للتكيف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bidi w:val="1"/>
              <w:spacing w:after="160" w:line="276.0005454545455" w:lineRule="auto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نفاذ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انقضاء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نشره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المراسيم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والقرارات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التنظيمية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المنصوص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والعشرين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أبعد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يؤم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انتقالا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سلسا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ومنظما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نحو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الإطار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الفراغ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التشريعي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التعارض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الإجراءات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ويمنح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الضروري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ترتيب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أوضاعها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ينسجم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A6">
      <w:pPr>
        <w:bidi w:val="1"/>
        <w:spacing w:after="160" w:line="256.7994545454545" w:lineRule="auto"/>
        <w:rPr>
          <w:b w:val="1"/>
          <w:bCs w:val="1"/>
          <w:color w:val="0563c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bidi w:val="1"/>
        <w:spacing w:after="160" w:line="256.7994545454545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assam.alkantar@nhrcl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