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rPr>
          <w:b w:val="1"/>
        </w:rPr>
      </w:pPr>
      <w:bookmarkStart w:colFirst="0" w:colLast="0" w:name="_yq3s2xb8jg6t" w:id="0"/>
      <w:bookmarkEnd w:id="0"/>
      <w:r w:rsidDel="00000000" w:rsidR="00000000" w:rsidRPr="00000000">
        <w:rPr>
          <w:b w:val="1"/>
          <w:rtl w:val="1"/>
        </w:rPr>
        <w:t xml:space="preserve">رأي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الوطنية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الإنسان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قانون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البذور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والشتول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ومواد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الإكثار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jaikrtt2lsfb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أولا</w:t>
      </w:r>
      <w:r w:rsidDel="00000000" w:rsidR="00000000" w:rsidRPr="00000000">
        <w:rPr>
          <w:b w:val="1"/>
          <w:sz w:val="34"/>
          <w:szCs w:val="34"/>
          <w:rtl w:val="1"/>
        </w:rPr>
        <w:t xml:space="preserve">ً: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الأساس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القانوني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لاختصاص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الهيئة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عملا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بالماد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62/2016، </w:t>
      </w:r>
      <w:r w:rsidDel="00000000" w:rsidR="00000000" w:rsidRPr="00000000">
        <w:rPr>
          <w:rtl w:val="1"/>
        </w:rPr>
        <w:t xml:space="preserve">تختص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بإبداء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التشريعات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والبيئية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وحيث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والشتول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الإكثار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يمس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الغذاء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المزارعين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والسيادة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الغذائية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وحماية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البيولوجي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الزراعي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العهد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الاقتصادية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والاجتماعية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والثقافية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المادتان</w:t>
      </w:r>
      <w:r w:rsidDel="00000000" w:rsidR="00000000" w:rsidRPr="00000000">
        <w:rPr>
          <w:rtl w:val="1"/>
        </w:rPr>
        <w:t xml:space="preserve"> 11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15)؛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الإعلان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العالمي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المزارعين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وعم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الريف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UNDROP</w:t>
      </w:r>
      <w:r w:rsidDel="00000000" w:rsidR="00000000" w:rsidRPr="00000000">
        <w:rPr>
          <w:b w:val="1"/>
          <w:rtl w:val="1"/>
        </w:rPr>
        <w:t xml:space="preserve"> 2018)</w:t>
      </w: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اتفاقية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البيولوجي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CBD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المعاهدة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الوراثية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النباتية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للأغذية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والزراعة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FAO</w:t>
      </w:r>
      <w:r w:rsidDel="00000000" w:rsidR="00000000" w:rsidRPr="00000000">
        <w:rPr>
          <w:b w:val="1"/>
          <w:rtl w:val="1"/>
        </w:rPr>
        <w:t xml:space="preserve"> 2001)</w:t>
      </w: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ومبدأ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الغذائية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d96jh4qderez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ثانيا</w:t>
      </w:r>
      <w:r w:rsidDel="00000000" w:rsidR="00000000" w:rsidRPr="00000000">
        <w:rPr>
          <w:b w:val="1"/>
          <w:sz w:val="34"/>
          <w:szCs w:val="34"/>
          <w:rtl w:val="1"/>
        </w:rPr>
        <w:t xml:space="preserve">ً: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تحليل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مضمون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المشروع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اللبناني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ضوء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المعايير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الدولية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والشتول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الإكثار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بصيغته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تقنيا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وتنظيميا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يغفل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الحقوقي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والاجتماعي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والبيئي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الأوسع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المرتبط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الفلاحين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والمجتمعات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الريفية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بتعميق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اللبناني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يواجه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والمزارعات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تمييزا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هيكليا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متعدد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الأبعاد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وصعوبة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الأسواق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مخاطر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متزايدة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ناجمة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وتدهور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والاستيلاء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الأراضي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المتزايد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والمبيدات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الكيماوية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تتأثر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النساء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والفتيات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الريفيات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الأوضاع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يواجهن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والتهميش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ويفتقدن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متكافئة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مساهمتهن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الغذاء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والمحافظة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ومستمرة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المنطلق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تشريع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والزراعة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التزامات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والمزارعين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الكافي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والحق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المستدامة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وحق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الفلاحين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حفظ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وتبادل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بذورهم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التقليدية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المادتين</w:t>
      </w:r>
      <w:r w:rsidDel="00000000" w:rsidR="00000000" w:rsidRPr="00000000">
        <w:rPr>
          <w:b w:val="1"/>
          <w:rtl w:val="1"/>
        </w:rPr>
        <w:t xml:space="preserve"> 9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10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المعاهدة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الوراثية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النباتية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للأغذية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والزراعة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eqgx1n563ow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1.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هيكل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وانحيازه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الصناعي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مستمد</w:t>
      </w:r>
      <w:r w:rsidDel="00000000" w:rsidR="00000000" w:rsidRPr="00000000">
        <w:rPr>
          <w:rtl w:val="1"/>
        </w:rPr>
        <w:t xml:space="preserve">ًّ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UPOV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ويرك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المستنبطين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التجاريين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الأصناف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التمي</w:t>
      </w:r>
      <w:r w:rsidDel="00000000" w:rsidR="00000000" w:rsidRPr="00000000">
        <w:rPr>
          <w:i w:val="1"/>
          <w:rtl w:val="1"/>
        </w:rPr>
        <w:t xml:space="preserve">ّ</w:t>
      </w:r>
      <w:r w:rsidDel="00000000" w:rsidR="00000000" w:rsidRPr="00000000">
        <w:rPr>
          <w:i w:val="1"/>
          <w:rtl w:val="1"/>
        </w:rPr>
        <w:t xml:space="preserve">ز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والثبات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والتجانس</w:t>
      </w:r>
      <w:r w:rsidDel="00000000" w:rsidR="00000000" w:rsidRPr="00000000">
        <w:rPr>
          <w:i w:val="1"/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DUS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قصي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فعليا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البذور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ويضعها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استمرارية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الممارسات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التقليدية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xa9zkk5vd4j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2.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ثغرات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جوهرية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الاعتراف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بحقوق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المزارعين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للأصناف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التقليدية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المزارعين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حفظ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وتبادل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بذورهم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المقابل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يكر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التحالف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الإفريقي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للسيادة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الغذائية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AFSA</w:t>
      </w:r>
      <w:r w:rsidDel="00000000" w:rsidR="00000000" w:rsidRPr="00000000">
        <w:rPr>
          <w:b w:val="1"/>
          <w:rtl w:val="0"/>
        </w:rPr>
        <w:t xml:space="preserve"> 2022)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البذور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المزارعين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FMSS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أعرافهم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وممارساتهم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الاعتراف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كعنصر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القرصنة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الفكرية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الضمانات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اللبناني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b w:val="1"/>
          <w:rtl w:val="1"/>
        </w:rPr>
        <w:t xml:space="preserve">تراجع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التزامات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لبنان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الدولية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للتهميش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والحرمان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الوراثية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qjzyhrjhn1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3.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التداول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والتبادل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بين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الأمن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البيولوجي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والتقييد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المفرط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17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استيراد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بحج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البيولوجي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يفرض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قيودا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متناسبة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الإقليمي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المسبقة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المستنيرة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الشفافة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6pwty3sv6k8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4.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غياب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نظام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مواز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ٍ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للبذور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البلدية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الإفريقي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لعام</w:t>
      </w:r>
      <w:r w:rsidDel="00000000" w:rsidR="00000000" w:rsidRPr="00000000">
        <w:rPr>
          <w:rtl w:val="1"/>
        </w:rPr>
        <w:t xml:space="preserve"> 2022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سجلات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اختيارية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أنفسهم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Regional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Farmers</w:t>
      </w:r>
      <w:r w:rsidDel="00000000" w:rsidR="00000000" w:rsidRPr="00000000">
        <w:rPr>
          <w:rtl w:val="0"/>
        </w:rPr>
        <w:t xml:space="preserve">’ </w:t>
      </w:r>
      <w:r w:rsidDel="00000000" w:rsidR="00000000" w:rsidRPr="00000000">
        <w:rPr>
          <w:rtl w:val="0"/>
        </w:rPr>
        <w:t xml:space="preserve">Registers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كه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المقابل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يحصر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اللبناني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الذاتي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البذور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التقليدية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8eptzqnuj8z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5.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نقص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الحماية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الكائنات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المعد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وراثي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ً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والقرصنة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الحيوية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اللبناني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التلوث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الجيني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التهجين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القسري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الاستيلاء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الوراثية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الاختراع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بينما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الإفريقي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13) </w:t>
      </w:r>
      <w:r w:rsidDel="00000000" w:rsidR="00000000" w:rsidRPr="00000000">
        <w:rPr>
          <w:rtl w:val="1"/>
        </w:rPr>
        <w:t xml:space="preserve">لحماية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الكائنات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وراثي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GMOs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تدابير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إرجاء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ccvt4j4ljarb" w:id="8"/>
      <w:bookmarkEnd w:id="8"/>
      <w:r w:rsidDel="00000000" w:rsidR="00000000" w:rsidRPr="00000000">
        <w:rPr>
          <w:b w:val="1"/>
          <w:sz w:val="34"/>
          <w:szCs w:val="34"/>
          <w:rtl w:val="1"/>
        </w:rPr>
        <w:t xml:space="preserve">ثالثا</w:t>
      </w:r>
      <w:r w:rsidDel="00000000" w:rsidR="00000000" w:rsidRPr="00000000">
        <w:rPr>
          <w:b w:val="1"/>
          <w:sz w:val="34"/>
          <w:szCs w:val="34"/>
          <w:rtl w:val="1"/>
        </w:rPr>
        <w:t xml:space="preserve">ً: </w:t>
      </w:r>
      <w:r w:rsidDel="00000000" w:rsidR="00000000" w:rsidRPr="00000000">
        <w:rPr>
          <w:b w:val="1"/>
          <w:sz w:val="34"/>
          <w:szCs w:val="34"/>
          <w:rtl w:val="1"/>
        </w:rPr>
        <w:t xml:space="preserve">تقييم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الأثر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الحقوقي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والبيئي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kdrg928boeq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منظور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الحق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الغذاء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صيغته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بحرية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الغذائي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التنو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البيولوجي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الزراعي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التبعية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2ulto58mmr4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منظور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العدالة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البيئية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المدخلات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المستوردة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هجينة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مبيدات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أسمدة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يضعف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صمود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النظم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الزراعية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اللبنانية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التغي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المناخي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473v7htq4vh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منظور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العدالة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الاجتماعية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يكر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مبدأ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المساواة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والإنصاف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الزراعية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المادتان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5).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6ss3waengtnb" w:id="12"/>
      <w:bookmarkEnd w:id="1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رابعا</w:t>
      </w:r>
      <w:r w:rsidDel="00000000" w:rsidR="00000000" w:rsidRPr="00000000">
        <w:rPr>
          <w:b w:val="1"/>
          <w:sz w:val="34"/>
          <w:szCs w:val="34"/>
          <w:rtl w:val="1"/>
        </w:rPr>
        <w:t xml:space="preserve">ً: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التوصيات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التشريعية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المقترحة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الاعتراف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المبدئي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بالنظام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الوطني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للبذور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البلدية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والمزارعين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بوصفه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لمبادئ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FMSS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AFSA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إدراج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القانون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اللبناني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rtl w:val="1"/>
        </w:rPr>
        <w:t xml:space="preserve">"</w:t>
      </w:r>
      <w:r w:rsidDel="00000000" w:rsidR="00000000" w:rsidRPr="00000000">
        <w:rPr>
          <w:i w:val="1"/>
          <w:rtl w:val="1"/>
        </w:rPr>
        <w:t xml:space="preserve">أنظمة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البذور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الم</w:t>
      </w:r>
      <w:r w:rsidDel="00000000" w:rsidR="00000000" w:rsidRPr="00000000">
        <w:rPr>
          <w:i w:val="1"/>
          <w:rtl w:val="1"/>
        </w:rPr>
        <w:t xml:space="preserve">ُ</w:t>
      </w:r>
      <w:r w:rsidDel="00000000" w:rsidR="00000000" w:rsidRPr="00000000">
        <w:rPr>
          <w:i w:val="1"/>
          <w:rtl w:val="1"/>
        </w:rPr>
        <w:t xml:space="preserve">دارة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من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قبل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المزارعين</w:t>
      </w:r>
      <w:r w:rsidDel="00000000" w:rsidR="00000000" w:rsidRPr="00000000">
        <w:rPr>
          <w:i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يتضمن</w:t>
      </w:r>
      <w:r w:rsidDel="00000000" w:rsidR="00000000" w:rsidRPr="00000000">
        <w:rPr>
          <w:rtl w:val="1"/>
        </w:rPr>
        <w:t xml:space="preserve">: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البذور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لبذور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الوراثي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صندوق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وطني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للبذور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National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Seed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Fund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إضافة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لحماية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الوراثي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الزراعي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والقرصنة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الحيوية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استحداث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تشاركية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للمراجعة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الدورية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والبحثية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ضمان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إدماج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النساء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والمزارعين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الشباب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والتنظيمية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الزراعية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المتساوية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؛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مواءمة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القانون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إعلان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المتحدة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الفلاحين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UNDROP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الأرياف</w:t>
      </w:r>
      <w:r w:rsidDel="00000000" w:rsidR="00000000" w:rsidRPr="00000000">
        <w:rPr>
          <w:rtl w:val="1"/>
        </w:rPr>
        <w:t xml:space="preserve">؛</w:t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إدراج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يوصي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انضمام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لبنان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معاهدة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الأصناف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UPOV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لأي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معاهد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دولية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والاقتصادي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ممثلين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تأكيد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التزام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لبنان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بتعزيز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الغذائية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ومناهضة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تهميش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المزارعين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الكبرى</w:t>
      </w:r>
      <w:r w:rsidDel="00000000" w:rsidR="00000000" w:rsidRPr="00000000">
        <w:rPr>
          <w:rtl w:val="1"/>
        </w:rPr>
        <w:t xml:space="preserve">؛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إنشاء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وطنية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دائمة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الفلاحين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ووزارات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والبيئة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والاقتصاد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والهيئات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إدخال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التعديلات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فاقم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اللبناني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الغذائي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التبعية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للمدخلات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يستدعي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الغذاء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المستدام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تشاركية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الغذائية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البيولوجي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مك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مواءمة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الفلاحين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بوصفهم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فاعلين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الوراثية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والكرامة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